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0C2470">
      <w:pPr>
        <w:pStyle w:val="Heading2"/>
        <w:pBdr>
          <w:top w:val="nil"/>
          <w:left w:val="nil"/>
          <w:bottom w:val="nil"/>
          <w:right w:val="nil"/>
          <w:between w:val="nil"/>
          <w:bar w:val="nil"/>
        </w:pBdr>
      </w:pPr>
      <w:bookmarkStart w:id="0" w:name="h.5h9piz4p4e7"/>
      <w:bookmarkStart w:id="1" w:name="_GoBack"/>
      <w:bookmarkEnd w:id="0"/>
      <w:bookmarkEnd w:id="1"/>
      <w:r>
        <w:rPr>
          <w:noProof/>
        </w:rPr>
        <w:drawing>
          <wp:inline distT="0" distB="0" distL="0" distR="0">
            <wp:extent cx="2505075" cy="2000250"/>
            <wp:effectExtent l="0" t="0" r="9525" b="0"/>
            <wp:docPr id="1" name="Picture 1" descr="C:\Users\axi07676\AppData\Local\Microsoft\Windows\Temporary Internet Files\Low\Content.IE5\13KT6VY0\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xi07676\AppData\Local\Microsoft\Windows\Temporary Internet Files\Low\Content.IE5\13KT6VY0\Image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2000250"/>
                    </a:xfrm>
                    <a:prstGeom prst="rect">
                      <a:avLst/>
                    </a:prstGeom>
                    <a:noFill/>
                    <a:ln>
                      <a:noFill/>
                    </a:ln>
                  </pic:spPr>
                </pic:pic>
              </a:graphicData>
            </a:graphic>
          </wp:inline>
        </w:drawing>
      </w:r>
      <w:r w:rsidR="00496B78">
        <w:tab/>
      </w:r>
    </w:p>
    <w:p w:rsidR="00A77B3E" w:rsidRDefault="00496B78">
      <w:pPr>
        <w:pStyle w:val="Heading1"/>
        <w:pBdr>
          <w:top w:val="nil"/>
          <w:left w:val="nil"/>
          <w:bottom w:val="nil"/>
          <w:right w:val="nil"/>
          <w:between w:val="nil"/>
          <w:bar w:val="nil"/>
        </w:pBdr>
      </w:pPr>
      <w:bookmarkStart w:id="2" w:name="h.h4vj24dmag0r"/>
      <w:bookmarkEnd w:id="2"/>
      <w:r>
        <w:t>Virginia’s First Annual Open and Digital Learning Resources Conference</w:t>
      </w:r>
    </w:p>
    <w:p w:rsidR="00A77B3E" w:rsidRDefault="00496B78">
      <w:pPr>
        <w:pStyle w:val="Heading2"/>
        <w:pBdr>
          <w:top w:val="nil"/>
          <w:left w:val="nil"/>
          <w:bottom w:val="nil"/>
          <w:right w:val="nil"/>
          <w:between w:val="nil"/>
          <w:bar w:val="nil"/>
        </w:pBdr>
      </w:pPr>
      <w:bookmarkStart w:id="3" w:name="h.2vxhgr4en59l"/>
      <w:bookmarkEnd w:id="3"/>
      <w:r>
        <w:t xml:space="preserve">Mission </w:t>
      </w:r>
    </w:p>
    <w:p w:rsidR="00A77B3E" w:rsidRDefault="00496B78">
      <w:pPr>
        <w:pBdr>
          <w:top w:val="nil"/>
          <w:left w:val="nil"/>
          <w:bottom w:val="nil"/>
          <w:right w:val="nil"/>
          <w:between w:val="nil"/>
          <w:bar w:val="nil"/>
        </w:pBdr>
        <w:rPr>
          <w:sz w:val="24"/>
          <w:szCs w:val="24"/>
        </w:rPr>
      </w:pPr>
      <w:r>
        <w:rPr>
          <w:sz w:val="24"/>
          <w:szCs w:val="24"/>
        </w:rPr>
        <w:t xml:space="preserve">The Office of Governor of the Commonwealth of Virginia, State Council of Higher Education for </w:t>
      </w:r>
      <w:proofErr w:type="gramStart"/>
      <w:r>
        <w:rPr>
          <w:sz w:val="24"/>
          <w:szCs w:val="24"/>
        </w:rPr>
        <w:t>Virginia,</w:t>
      </w:r>
      <w:proofErr w:type="gramEnd"/>
      <w:r>
        <w:rPr>
          <w:sz w:val="24"/>
          <w:szCs w:val="24"/>
        </w:rPr>
        <w:t xml:space="preserve"> and Virginia Community College System invite submissions to its inaugural </w:t>
      </w:r>
      <w:r>
        <w:rPr>
          <w:b/>
          <w:bCs/>
          <w:sz w:val="24"/>
          <w:szCs w:val="24"/>
        </w:rPr>
        <w:t>Open and Digital Learning Resources Conference</w:t>
      </w:r>
      <w:r>
        <w:rPr>
          <w:i/>
          <w:iCs/>
          <w:sz w:val="24"/>
          <w:szCs w:val="24"/>
        </w:rPr>
        <w:t xml:space="preserve"> </w:t>
      </w:r>
      <w:r>
        <w:rPr>
          <w:sz w:val="24"/>
          <w:szCs w:val="24"/>
        </w:rPr>
        <w:t>to be held at the University of Mary Washington in Fredericksburg, V</w:t>
      </w:r>
      <w:r w:rsidR="00E10CFA">
        <w:rPr>
          <w:sz w:val="24"/>
          <w:szCs w:val="24"/>
        </w:rPr>
        <w:t>irginia</w:t>
      </w:r>
      <w:r>
        <w:rPr>
          <w:sz w:val="24"/>
          <w:szCs w:val="24"/>
        </w:rPr>
        <w:t xml:space="preserve"> on </w:t>
      </w:r>
      <w:r w:rsidRPr="00E10CFA">
        <w:rPr>
          <w:b/>
          <w:sz w:val="24"/>
          <w:szCs w:val="24"/>
          <w:u w:val="single"/>
        </w:rPr>
        <w:t>March 7th, 2013</w:t>
      </w:r>
      <w:r>
        <w:rPr>
          <w:sz w:val="24"/>
          <w:szCs w:val="24"/>
        </w:rPr>
        <w:t xml:space="preserve">.  </w:t>
      </w:r>
    </w:p>
    <w:p w:rsidR="00A77B3E" w:rsidRDefault="002A2752">
      <w:pPr>
        <w:pBdr>
          <w:top w:val="nil"/>
          <w:left w:val="nil"/>
          <w:bottom w:val="nil"/>
          <w:right w:val="nil"/>
          <w:between w:val="nil"/>
          <w:bar w:val="nil"/>
        </w:pBdr>
        <w:rPr>
          <w:color w:val="111111"/>
          <w:sz w:val="24"/>
          <w:szCs w:val="24"/>
          <w:shd w:val="solid" w:color="FFFFFF" w:fill="FFFFFF"/>
        </w:rPr>
      </w:pP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This is a watershed moment for open and digital learning resources, with a number of well-publicized initiatives bringing new energy and attention to this topic. In May 2012</w:t>
      </w:r>
      <w:proofErr w:type="gramStart"/>
      <w:r>
        <w:rPr>
          <w:color w:val="111111"/>
          <w:sz w:val="24"/>
          <w:szCs w:val="24"/>
          <w:shd w:val="solid" w:color="FFFFFF" w:fill="FFFFFF"/>
        </w:rPr>
        <w:t>,  Harvard</w:t>
      </w:r>
      <w:proofErr w:type="gramEnd"/>
      <w:r>
        <w:rPr>
          <w:color w:val="111111"/>
          <w:sz w:val="24"/>
          <w:szCs w:val="24"/>
          <w:shd w:val="solid" w:color="FFFFFF" w:fill="FFFFFF"/>
        </w:rPr>
        <w:t xml:space="preserve"> and MIT announced a partnership to create </w:t>
      </w:r>
      <w:proofErr w:type="spellStart"/>
      <w:r>
        <w:rPr>
          <w:color w:val="111111"/>
          <w:sz w:val="24"/>
          <w:szCs w:val="24"/>
          <w:shd w:val="solid" w:color="FFFFFF" w:fill="FFFFFF"/>
        </w:rPr>
        <w:t>EdX</w:t>
      </w:r>
      <w:proofErr w:type="spellEnd"/>
      <w:r>
        <w:rPr>
          <w:color w:val="111111"/>
          <w:sz w:val="24"/>
          <w:szCs w:val="24"/>
          <w:shd w:val="solid" w:color="FFFFFF" w:fill="FFFFFF"/>
        </w:rPr>
        <w:t xml:space="preserve"> and host free courses to anyone, anywhere. In July 2012 the online course platform </w:t>
      </w:r>
      <w:proofErr w:type="spellStart"/>
      <w:r>
        <w:rPr>
          <w:color w:val="111111"/>
          <w:sz w:val="24"/>
          <w:szCs w:val="24"/>
          <w:shd w:val="solid" w:color="FFFFFF" w:fill="FFFFFF"/>
        </w:rPr>
        <w:t>Coursera</w:t>
      </w:r>
      <w:proofErr w:type="spellEnd"/>
      <w:r>
        <w:rPr>
          <w:color w:val="111111"/>
          <w:sz w:val="24"/>
          <w:szCs w:val="24"/>
          <w:shd w:val="solid" w:color="FFFFFF" w:fill="FFFFFF"/>
        </w:rPr>
        <w:t xml:space="preserve"> announced it had established new partnerships with 12 universities to offer free online courses. The State Board of Career and Technical Colleges in Washington </w:t>
      </w:r>
      <w:proofErr w:type="gramStart"/>
      <w:r>
        <w:rPr>
          <w:color w:val="111111"/>
          <w:sz w:val="24"/>
          <w:szCs w:val="24"/>
          <w:shd w:val="solid" w:color="FFFFFF" w:fill="FFFFFF"/>
        </w:rPr>
        <w:t>state</w:t>
      </w:r>
      <w:proofErr w:type="gramEnd"/>
      <w:r>
        <w:rPr>
          <w:color w:val="111111"/>
          <w:sz w:val="24"/>
          <w:szCs w:val="24"/>
          <w:shd w:val="solid" w:color="FFFFFF" w:fill="FFFFFF"/>
        </w:rPr>
        <w:t xml:space="preserve"> is offering open access to 81 of its most highly-enrolled courses through the Open Course Library.  And </w:t>
      </w:r>
      <w:proofErr w:type="spellStart"/>
      <w:r>
        <w:rPr>
          <w:color w:val="111111"/>
          <w:sz w:val="24"/>
          <w:szCs w:val="24"/>
          <w:shd w:val="solid" w:color="FFFFFF" w:fill="FFFFFF"/>
        </w:rPr>
        <w:t>OpenStax</w:t>
      </w:r>
      <w:proofErr w:type="spellEnd"/>
      <w:r>
        <w:rPr>
          <w:color w:val="111111"/>
          <w:sz w:val="24"/>
          <w:szCs w:val="24"/>
          <w:shd w:val="solid" w:color="FFFFFF" w:fill="FFFFFF"/>
        </w:rPr>
        <w:t xml:space="preserve"> College, a project out of Rice University, has released the first of a series of free, open textbooks for core college courses like Physics and Biology.</w:t>
      </w:r>
    </w:p>
    <w:p w:rsidR="00A77B3E" w:rsidRDefault="002A2752">
      <w:pPr>
        <w:pBdr>
          <w:top w:val="nil"/>
          <w:left w:val="nil"/>
          <w:bottom w:val="nil"/>
          <w:right w:val="nil"/>
          <w:between w:val="nil"/>
          <w:bar w:val="nil"/>
        </w:pBdr>
        <w:rPr>
          <w:color w:val="111111"/>
          <w:sz w:val="24"/>
          <w:szCs w:val="24"/>
          <w:shd w:val="solid" w:color="FFFFFF" w:fill="FFFFFF"/>
        </w:rPr>
      </w:pP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 xml:space="preserve">Clearly, open and digital learning resources have the potential to have a significant and perhaps lasting impact on our educational institutions, and it is vitally important to begin to build an understanding of the challenges and opportunities they offer for teaching and learning across the Commonwealth. </w:t>
      </w:r>
    </w:p>
    <w:p w:rsidR="00A77B3E" w:rsidRDefault="002A2752">
      <w:pPr>
        <w:pBdr>
          <w:top w:val="nil"/>
          <w:left w:val="nil"/>
          <w:bottom w:val="nil"/>
          <w:right w:val="nil"/>
          <w:between w:val="nil"/>
          <w:bar w:val="nil"/>
        </w:pBdr>
        <w:rPr>
          <w:color w:val="111111"/>
          <w:sz w:val="24"/>
          <w:szCs w:val="24"/>
          <w:shd w:val="solid" w:color="FFFFFF" w:fill="FFFFFF"/>
        </w:rPr>
      </w:pP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 xml:space="preserve">The Open and Digital Learning Resources Conference will bring together teams of higher education stakeholders from across Virginia to collectively investigate the </w:t>
      </w:r>
      <w:r>
        <w:rPr>
          <w:color w:val="111111"/>
          <w:sz w:val="24"/>
          <w:szCs w:val="24"/>
          <w:shd w:val="solid" w:color="FFFFFF" w:fill="FFFFFF"/>
        </w:rPr>
        <w:lastRenderedPageBreak/>
        <w:t>exciting topic of open and digital learning resources (ODLR) in education. ODLRs are a fairly broad categorization of educational technologies and practices that include the use and integration of in-class and online digital media, hardware, and software, a variety of openly licensed and freely available open educational resources (open textbooks, open courses, open content, etc.), augmented reality, and other tools used to deliver or enhance instruction in postsecondary settings. The conference organizers are particularly interested in examining ways these resources can be created and shared effectively and efficiently among college campuses across the Commonwealth in order to build a shared repository of openly licensed content.</w:t>
      </w:r>
    </w:p>
    <w:p w:rsidR="00A77B3E" w:rsidRDefault="002A2752">
      <w:pPr>
        <w:pBdr>
          <w:top w:val="nil"/>
          <w:left w:val="nil"/>
          <w:bottom w:val="nil"/>
          <w:right w:val="nil"/>
          <w:between w:val="nil"/>
          <w:bar w:val="nil"/>
        </w:pBdr>
        <w:rPr>
          <w:color w:val="111111"/>
          <w:sz w:val="24"/>
          <w:szCs w:val="24"/>
          <w:shd w:val="solid" w:color="FFFFFF" w:fill="FFFFFF"/>
        </w:rPr>
      </w:pP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 xml:space="preserve">This conference will tap into the a wide-range of expertise, innovation, and transformative ideas from across the Commonwealth of Virginia not only to showcase current ODLR projects and practices, but also actively link higher educational institutions together in order to develop and support a vibrant community of practice around the use of ODLR. This conference is an exciting opportunity to systematically explore how digital learning resources and networked educational experiences can lower costs, create new collaborative partnerships, and positively impact student outcomes, as well as establish a community of postsecondary institutions interested in continuing to explore this issue. </w:t>
      </w:r>
    </w:p>
    <w:p w:rsidR="00A77B3E" w:rsidRDefault="00496B78">
      <w:pPr>
        <w:pStyle w:val="Heading2"/>
        <w:pBdr>
          <w:top w:val="nil"/>
          <w:left w:val="nil"/>
          <w:bottom w:val="nil"/>
          <w:right w:val="nil"/>
          <w:between w:val="nil"/>
          <w:bar w:val="nil"/>
        </w:pBdr>
      </w:pPr>
      <w:bookmarkStart w:id="4" w:name="h.wsbiyjn82n7c"/>
      <w:bookmarkEnd w:id="4"/>
      <w:r>
        <w:t>Topics</w:t>
      </w:r>
    </w:p>
    <w:p w:rsidR="00A77B3E" w:rsidRDefault="00496B78">
      <w:pPr>
        <w:pBdr>
          <w:top w:val="nil"/>
          <w:left w:val="nil"/>
          <w:bottom w:val="nil"/>
          <w:right w:val="nil"/>
          <w:between w:val="nil"/>
          <w:bar w:val="nil"/>
        </w:pBdr>
        <w:rPr>
          <w:sz w:val="24"/>
          <w:szCs w:val="24"/>
        </w:rPr>
      </w:pPr>
      <w:r>
        <w:rPr>
          <w:sz w:val="24"/>
          <w:szCs w:val="24"/>
        </w:rPr>
        <w:t xml:space="preserve">The scope of this conference includes, but is not limited to, the following topics as they relate to open and digital learning resources: </w:t>
      </w:r>
    </w:p>
    <w:p w:rsidR="00A77B3E" w:rsidRDefault="002A2752">
      <w:pPr>
        <w:pBdr>
          <w:top w:val="nil"/>
          <w:left w:val="nil"/>
          <w:bottom w:val="nil"/>
          <w:right w:val="nil"/>
          <w:between w:val="nil"/>
          <w:bar w:val="nil"/>
        </w:pBdr>
        <w:rPr>
          <w:color w:val="111111"/>
          <w:sz w:val="24"/>
          <w:szCs w:val="24"/>
          <w:shd w:val="solid" w:color="FFFFFF" w:fill="FFFFFF"/>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5686"/>
      </w:tblGrid>
      <w:tr w:rsidR="005D7390">
        <w:trPr>
          <w:trHeight w:val="1200"/>
        </w:trPr>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rsidR="00A77B3E" w:rsidRDefault="00496B78">
            <w:pPr>
              <w:numPr>
                <w:ilvl w:val="0"/>
                <w:numId w:val="1"/>
              </w:numPr>
              <w:pBdr>
                <w:top w:val="nil"/>
                <w:left w:val="nil"/>
                <w:bottom w:val="nil"/>
                <w:right w:val="nil"/>
                <w:between w:val="nil"/>
                <w:bar w:val="nil"/>
              </w:pBdr>
              <w:tabs>
                <w:tab w:val="num" w:pos="720"/>
              </w:tabs>
              <w:spacing w:line="240" w:lineRule="auto"/>
            </w:pPr>
            <w:r>
              <w:rPr>
                <w:color w:val="111111"/>
                <w:sz w:val="24"/>
                <w:szCs w:val="24"/>
                <w:shd w:val="solid" w:color="FFFFFF" w:fill="FFFFFF"/>
              </w:rPr>
              <w:t>strategies to reduce costs of instructional materials</w:t>
            </w:r>
          </w:p>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rsidR="00A77B3E" w:rsidRDefault="00496B78">
            <w:pPr>
              <w:numPr>
                <w:ilvl w:val="0"/>
                <w:numId w:val="1"/>
              </w:numPr>
              <w:pBdr>
                <w:top w:val="nil"/>
                <w:left w:val="nil"/>
                <w:bottom w:val="nil"/>
                <w:right w:val="nil"/>
                <w:between w:val="nil"/>
                <w:bar w:val="nil"/>
              </w:pBdr>
              <w:tabs>
                <w:tab w:val="num" w:pos="720"/>
              </w:tabs>
              <w:spacing w:line="240" w:lineRule="auto"/>
            </w:pPr>
            <w:r>
              <w:rPr>
                <w:color w:val="111111"/>
                <w:sz w:val="24"/>
                <w:szCs w:val="24"/>
                <w:shd w:val="solid" w:color="FFFFFF" w:fill="FFFFFF"/>
              </w:rPr>
              <w:t>open policies, including open government, open assessment, and open data</w:t>
            </w:r>
          </w:p>
        </w:tc>
      </w:tr>
      <w:tr w:rsidR="005D7390">
        <w:trPr>
          <w:trHeight w:val="40"/>
        </w:trPr>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rsidR="00A77B3E" w:rsidRDefault="00496B78">
            <w:pPr>
              <w:numPr>
                <w:ilvl w:val="0"/>
                <w:numId w:val="1"/>
              </w:numPr>
              <w:pBdr>
                <w:top w:val="nil"/>
                <w:left w:val="nil"/>
                <w:bottom w:val="nil"/>
                <w:right w:val="nil"/>
                <w:between w:val="nil"/>
                <w:bar w:val="nil"/>
              </w:pBdr>
              <w:tabs>
                <w:tab w:val="num" w:pos="720"/>
              </w:tabs>
              <w:spacing w:line="240" w:lineRule="auto"/>
            </w:pPr>
            <w:r>
              <w:rPr>
                <w:color w:val="111111"/>
                <w:sz w:val="24"/>
                <w:szCs w:val="24"/>
                <w:shd w:val="solid" w:color="FFFFFF" w:fill="FFFFFF"/>
              </w:rPr>
              <w:t>flipping the classroom</w:t>
            </w:r>
          </w:p>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rsidR="00A77B3E" w:rsidRDefault="00496B78">
            <w:pPr>
              <w:numPr>
                <w:ilvl w:val="0"/>
                <w:numId w:val="1"/>
              </w:numPr>
              <w:pBdr>
                <w:top w:val="nil"/>
                <w:left w:val="nil"/>
                <w:bottom w:val="nil"/>
                <w:right w:val="nil"/>
                <w:between w:val="nil"/>
                <w:bar w:val="nil"/>
              </w:pBdr>
              <w:tabs>
                <w:tab w:val="num" w:pos="720"/>
              </w:tabs>
              <w:spacing w:line="240" w:lineRule="auto"/>
            </w:pPr>
            <w:r>
              <w:rPr>
                <w:color w:val="111111"/>
                <w:sz w:val="24"/>
                <w:szCs w:val="24"/>
                <w:shd w:val="solid" w:color="FFFFFF" w:fill="FFFFFF"/>
              </w:rPr>
              <w:t>alternate &amp; augmented reality</w:t>
            </w:r>
          </w:p>
        </w:tc>
      </w:tr>
      <w:tr w:rsidR="005D7390">
        <w:trPr>
          <w:trHeight w:val="480"/>
        </w:trPr>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rsidR="00A77B3E" w:rsidRDefault="00496B78">
            <w:pPr>
              <w:numPr>
                <w:ilvl w:val="0"/>
                <w:numId w:val="1"/>
              </w:numPr>
              <w:pBdr>
                <w:top w:val="nil"/>
                <w:left w:val="nil"/>
                <w:bottom w:val="nil"/>
                <w:right w:val="nil"/>
                <w:between w:val="nil"/>
                <w:bar w:val="nil"/>
              </w:pBdr>
              <w:tabs>
                <w:tab w:val="num" w:pos="720"/>
              </w:tabs>
              <w:spacing w:line="240" w:lineRule="auto"/>
            </w:pPr>
            <w:r>
              <w:rPr>
                <w:color w:val="111111"/>
                <w:sz w:val="24"/>
                <w:szCs w:val="24"/>
                <w:shd w:val="solid" w:color="FFFFFF" w:fill="FFFFFF"/>
              </w:rPr>
              <w:t>serious games/</w:t>
            </w:r>
            <w:proofErr w:type="spellStart"/>
            <w:r>
              <w:rPr>
                <w:color w:val="111111"/>
                <w:sz w:val="24"/>
                <w:szCs w:val="24"/>
                <w:shd w:val="solid" w:color="FFFFFF" w:fill="FFFFFF"/>
              </w:rPr>
              <w:t>gamification</w:t>
            </w:r>
            <w:proofErr w:type="spellEnd"/>
          </w:p>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rsidR="00A77B3E" w:rsidRDefault="00496B78">
            <w:pPr>
              <w:numPr>
                <w:ilvl w:val="0"/>
                <w:numId w:val="1"/>
              </w:numPr>
              <w:pBdr>
                <w:top w:val="nil"/>
                <w:left w:val="nil"/>
                <w:bottom w:val="nil"/>
                <w:right w:val="nil"/>
                <w:between w:val="nil"/>
                <w:bar w:val="nil"/>
              </w:pBdr>
              <w:tabs>
                <w:tab w:val="num" w:pos="720"/>
              </w:tabs>
              <w:spacing w:line="240" w:lineRule="auto"/>
            </w:pPr>
            <w:r>
              <w:rPr>
                <w:color w:val="111111"/>
                <w:sz w:val="24"/>
                <w:szCs w:val="24"/>
                <w:shd w:val="solid" w:color="FFFFFF" w:fill="FFFFFF"/>
              </w:rPr>
              <w:t>team-based, collaborative, or cooperative online learning</w:t>
            </w:r>
          </w:p>
        </w:tc>
      </w:tr>
      <w:tr w:rsidR="005D7390">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rsidR="00A77B3E" w:rsidRDefault="00496B78">
            <w:pPr>
              <w:numPr>
                <w:ilvl w:val="0"/>
                <w:numId w:val="1"/>
              </w:numPr>
              <w:pBdr>
                <w:top w:val="nil"/>
                <w:left w:val="nil"/>
                <w:bottom w:val="nil"/>
                <w:right w:val="nil"/>
                <w:between w:val="nil"/>
                <w:bar w:val="nil"/>
              </w:pBdr>
              <w:tabs>
                <w:tab w:val="num" w:pos="720"/>
              </w:tabs>
              <w:spacing w:line="240" w:lineRule="auto"/>
            </w:pPr>
            <w:r>
              <w:rPr>
                <w:color w:val="111111"/>
                <w:sz w:val="24"/>
                <w:szCs w:val="24"/>
                <w:shd w:val="solid" w:color="FFFFFF" w:fill="FFFFFF"/>
              </w:rPr>
              <w:t>mobile learning</w:t>
            </w:r>
          </w:p>
        </w:tc>
        <w:tc>
          <w:tcPr>
            <w:tcW w:w="0" w:type="auto"/>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rsidR="00A77B3E" w:rsidRDefault="00496B78">
            <w:pPr>
              <w:numPr>
                <w:ilvl w:val="0"/>
                <w:numId w:val="1"/>
              </w:numPr>
              <w:pBdr>
                <w:top w:val="nil"/>
                <w:left w:val="nil"/>
                <w:bottom w:val="nil"/>
                <w:right w:val="nil"/>
                <w:between w:val="nil"/>
                <w:bar w:val="nil"/>
              </w:pBdr>
              <w:tabs>
                <w:tab w:val="num" w:pos="720"/>
              </w:tabs>
              <w:spacing w:line="240" w:lineRule="auto"/>
            </w:pPr>
            <w:r>
              <w:rPr>
                <w:color w:val="111111"/>
                <w:sz w:val="24"/>
                <w:szCs w:val="24"/>
                <w:shd w:val="solid" w:color="FFFFFF" w:fill="FFFFFF"/>
              </w:rPr>
              <w:t>open educational resources, including open textbooks, open content, open courses (MOOCs), and open teaching</w:t>
            </w:r>
          </w:p>
        </w:tc>
      </w:tr>
    </w:tbl>
    <w:p w:rsidR="00A77B3E" w:rsidRDefault="002A2752">
      <w:pPr>
        <w:pBdr>
          <w:top w:val="nil"/>
          <w:left w:val="nil"/>
          <w:bottom w:val="nil"/>
          <w:right w:val="nil"/>
          <w:between w:val="nil"/>
          <w:bar w:val="nil"/>
        </w:pBdr>
      </w:pPr>
    </w:p>
    <w:p w:rsidR="00A77B3E" w:rsidRDefault="00496B78">
      <w:pPr>
        <w:pStyle w:val="Heading2"/>
        <w:pBdr>
          <w:top w:val="nil"/>
          <w:left w:val="nil"/>
          <w:bottom w:val="nil"/>
          <w:right w:val="nil"/>
          <w:between w:val="nil"/>
          <w:bar w:val="nil"/>
        </w:pBdr>
      </w:pPr>
      <w:bookmarkStart w:id="5" w:name="h.gkajuvtb0ug9"/>
      <w:bookmarkEnd w:id="5"/>
      <w:r>
        <w:t>Proposals</w:t>
      </w: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lastRenderedPageBreak/>
        <w:t>Institutions are encouraged to submit multiple proposals that meet the criteria of this RFP.   Proposal submissions can be in two distinct categories, outlined below:</w:t>
      </w:r>
    </w:p>
    <w:p w:rsidR="00A77B3E" w:rsidRDefault="00496B78">
      <w:pPr>
        <w:numPr>
          <w:ilvl w:val="0"/>
          <w:numId w:val="2"/>
        </w:numPr>
        <w:pBdr>
          <w:top w:val="nil"/>
          <w:left w:val="nil"/>
          <w:bottom w:val="nil"/>
          <w:right w:val="nil"/>
          <w:between w:val="nil"/>
          <w:bar w:val="nil"/>
        </w:pBdr>
        <w:tabs>
          <w:tab w:val="num" w:pos="720"/>
        </w:tabs>
        <w:rPr>
          <w:sz w:val="24"/>
          <w:szCs w:val="24"/>
        </w:rPr>
      </w:pPr>
      <w:r>
        <w:rPr>
          <w:sz w:val="24"/>
          <w:szCs w:val="24"/>
        </w:rPr>
        <w:t>Digital Carnival Showcase</w:t>
      </w:r>
    </w:p>
    <w:p w:rsidR="00A77B3E" w:rsidRDefault="00496B78">
      <w:pPr>
        <w:numPr>
          <w:ilvl w:val="0"/>
          <w:numId w:val="2"/>
        </w:numPr>
        <w:pBdr>
          <w:top w:val="nil"/>
          <w:left w:val="nil"/>
          <w:bottom w:val="nil"/>
          <w:right w:val="nil"/>
          <w:between w:val="nil"/>
          <w:bar w:val="nil"/>
        </w:pBdr>
        <w:tabs>
          <w:tab w:val="num" w:pos="720"/>
        </w:tabs>
        <w:rPr>
          <w:sz w:val="24"/>
          <w:szCs w:val="24"/>
        </w:rPr>
      </w:pPr>
      <w:r>
        <w:rPr>
          <w:sz w:val="24"/>
          <w:szCs w:val="24"/>
        </w:rPr>
        <w:t>Presentation format, including:</w:t>
      </w:r>
    </w:p>
    <w:p w:rsidR="00A77B3E" w:rsidRDefault="00496B78">
      <w:pPr>
        <w:numPr>
          <w:ilvl w:val="1"/>
          <w:numId w:val="2"/>
        </w:numPr>
        <w:pBdr>
          <w:top w:val="nil"/>
          <w:left w:val="nil"/>
          <w:bottom w:val="nil"/>
          <w:right w:val="nil"/>
          <w:between w:val="nil"/>
          <w:bar w:val="nil"/>
        </w:pBdr>
        <w:tabs>
          <w:tab w:val="num" w:pos="1440"/>
        </w:tabs>
        <w:rPr>
          <w:color w:val="111111"/>
          <w:sz w:val="24"/>
          <w:szCs w:val="24"/>
          <w:shd w:val="solid" w:color="FFFFFF" w:fill="FFFFFF"/>
        </w:rPr>
      </w:pPr>
      <w:r>
        <w:rPr>
          <w:color w:val="111111"/>
          <w:sz w:val="24"/>
          <w:szCs w:val="24"/>
          <w:shd w:val="solid" w:color="FFFFFF" w:fill="FFFFFF"/>
        </w:rPr>
        <w:t>formal presentation</w:t>
      </w:r>
    </w:p>
    <w:p w:rsidR="00A77B3E" w:rsidRDefault="00496B78">
      <w:pPr>
        <w:numPr>
          <w:ilvl w:val="1"/>
          <w:numId w:val="2"/>
        </w:numPr>
        <w:pBdr>
          <w:top w:val="nil"/>
          <w:left w:val="nil"/>
          <w:bottom w:val="nil"/>
          <w:right w:val="nil"/>
          <w:between w:val="nil"/>
          <w:bar w:val="nil"/>
        </w:pBdr>
        <w:tabs>
          <w:tab w:val="num" w:pos="1440"/>
        </w:tabs>
        <w:rPr>
          <w:color w:val="111111"/>
          <w:sz w:val="24"/>
          <w:szCs w:val="24"/>
          <w:shd w:val="solid" w:color="FFFFFF" w:fill="FFFFFF"/>
        </w:rPr>
      </w:pPr>
      <w:r>
        <w:rPr>
          <w:color w:val="111111"/>
          <w:sz w:val="24"/>
          <w:szCs w:val="24"/>
          <w:shd w:val="solid" w:color="FFFFFF" w:fill="FFFFFF"/>
        </w:rPr>
        <w:t>panel discussion</w:t>
      </w:r>
    </w:p>
    <w:p w:rsidR="00A77B3E" w:rsidRDefault="00496B78">
      <w:pPr>
        <w:numPr>
          <w:ilvl w:val="1"/>
          <w:numId w:val="2"/>
        </w:numPr>
        <w:pBdr>
          <w:top w:val="nil"/>
          <w:left w:val="nil"/>
          <w:bottom w:val="nil"/>
          <w:right w:val="nil"/>
          <w:between w:val="nil"/>
          <w:bar w:val="nil"/>
        </w:pBdr>
        <w:tabs>
          <w:tab w:val="num" w:pos="1440"/>
        </w:tabs>
        <w:rPr>
          <w:color w:val="111111"/>
          <w:sz w:val="24"/>
          <w:szCs w:val="24"/>
          <w:shd w:val="solid" w:color="FFFFFF" w:fill="FFFFFF"/>
        </w:rPr>
      </w:pPr>
      <w:r>
        <w:rPr>
          <w:color w:val="111111"/>
          <w:sz w:val="24"/>
          <w:szCs w:val="24"/>
          <w:shd w:val="solid" w:color="FFFFFF" w:fill="FFFFFF"/>
        </w:rPr>
        <w:t>interview</w:t>
      </w:r>
    </w:p>
    <w:p w:rsidR="00A77B3E" w:rsidRDefault="00496B78">
      <w:pPr>
        <w:numPr>
          <w:ilvl w:val="1"/>
          <w:numId w:val="2"/>
        </w:numPr>
        <w:pBdr>
          <w:top w:val="nil"/>
          <w:left w:val="nil"/>
          <w:bottom w:val="nil"/>
          <w:right w:val="nil"/>
          <w:between w:val="nil"/>
          <w:bar w:val="nil"/>
        </w:pBdr>
        <w:tabs>
          <w:tab w:val="num" w:pos="1440"/>
        </w:tabs>
        <w:rPr>
          <w:color w:val="111111"/>
          <w:sz w:val="24"/>
          <w:szCs w:val="24"/>
          <w:shd w:val="solid" w:color="FFFFFF" w:fill="FFFFFF"/>
        </w:rPr>
      </w:pPr>
      <w:r>
        <w:rPr>
          <w:color w:val="111111"/>
          <w:sz w:val="24"/>
          <w:szCs w:val="24"/>
          <w:shd w:val="solid" w:color="FFFFFF" w:fill="FFFFFF"/>
        </w:rPr>
        <w:t>debate</w:t>
      </w:r>
    </w:p>
    <w:p w:rsidR="00A77B3E" w:rsidRDefault="00496B78">
      <w:pPr>
        <w:pStyle w:val="Heading3"/>
        <w:pBdr>
          <w:top w:val="nil"/>
          <w:left w:val="nil"/>
          <w:bottom w:val="nil"/>
          <w:right w:val="nil"/>
          <w:between w:val="nil"/>
          <w:bar w:val="nil"/>
        </w:pBdr>
      </w:pPr>
      <w:bookmarkStart w:id="6" w:name="h.5bzmrx7aj7wd"/>
      <w:bookmarkEnd w:id="6"/>
      <w:r>
        <w:t>The Digital Carnival Showcase</w:t>
      </w:r>
    </w:p>
    <w:p w:rsidR="00A77B3E" w:rsidRDefault="00496B78">
      <w:pPr>
        <w:pBdr>
          <w:top w:val="nil"/>
          <w:left w:val="nil"/>
          <w:bottom w:val="nil"/>
          <w:right w:val="nil"/>
          <w:between w:val="nil"/>
          <w:bar w:val="nil"/>
        </w:pBdr>
        <w:rPr>
          <w:i/>
          <w:iCs/>
          <w:sz w:val="24"/>
          <w:szCs w:val="24"/>
        </w:rPr>
      </w:pPr>
      <w:r>
        <w:rPr>
          <w:i/>
          <w:iCs/>
          <w:sz w:val="24"/>
          <w:szCs w:val="24"/>
        </w:rPr>
        <w:t xml:space="preserve">Why a carnival? </w:t>
      </w:r>
      <w:proofErr w:type="gramStart"/>
      <w:r>
        <w:rPr>
          <w:i/>
          <w:iCs/>
          <w:sz w:val="24"/>
          <w:szCs w:val="24"/>
        </w:rPr>
        <w:t xml:space="preserve">Because a carnival </w:t>
      </w:r>
      <w:r>
        <w:rPr>
          <w:i/>
          <w:iCs/>
          <w:sz w:val="24"/>
          <w:szCs w:val="24"/>
          <w:shd w:val="solid" w:color="FFFFFF" w:fill="FFFFFF"/>
        </w:rPr>
        <w:t xml:space="preserve">typically involves a public </w:t>
      </w:r>
      <w:hyperlink r:id="rId9" w:history="1">
        <w:r>
          <w:rPr>
            <w:i/>
            <w:iCs/>
            <w:color w:val="0B0080"/>
            <w:sz w:val="24"/>
            <w:szCs w:val="24"/>
            <w:shd w:val="solid" w:color="FFFFFF" w:fill="FFFFFF"/>
          </w:rPr>
          <w:t>celebration</w:t>
        </w:r>
      </w:hyperlink>
      <w:r>
        <w:rPr>
          <w:i/>
          <w:iCs/>
          <w:sz w:val="24"/>
          <w:szCs w:val="24"/>
          <w:shd w:val="solid" w:color="FFFFFF" w:fill="FFFFFF"/>
        </w:rPr>
        <w:t xml:space="preserve"> or </w:t>
      </w:r>
      <w:hyperlink r:id="rId10" w:history="1">
        <w:r>
          <w:rPr>
            <w:i/>
            <w:iCs/>
            <w:color w:val="0B0080"/>
            <w:sz w:val="24"/>
            <w:szCs w:val="24"/>
            <w:shd w:val="solid" w:color="FFFFFF" w:fill="FFFFFF"/>
          </w:rPr>
          <w:t>parade</w:t>
        </w:r>
      </w:hyperlink>
      <w:r>
        <w:rPr>
          <w:i/>
          <w:iCs/>
          <w:sz w:val="24"/>
          <w:szCs w:val="24"/>
          <w:shd w:val="solid" w:color="FFFFFF" w:fill="FFFFFF"/>
        </w:rPr>
        <w:t xml:space="preserve"> combining elements of a </w:t>
      </w:r>
      <w:hyperlink r:id="rId11" w:history="1">
        <w:r>
          <w:rPr>
            <w:i/>
            <w:iCs/>
            <w:color w:val="0B0080"/>
            <w:sz w:val="24"/>
            <w:szCs w:val="24"/>
            <w:shd w:val="solid" w:color="FFFFFF" w:fill="FFFFFF"/>
          </w:rPr>
          <w:t>circus</w:t>
        </w:r>
      </w:hyperlink>
      <w:r>
        <w:rPr>
          <w:i/>
          <w:iCs/>
          <w:sz w:val="24"/>
          <w:szCs w:val="24"/>
          <w:shd w:val="solid" w:color="FFFFFF" w:fill="FFFFFF"/>
        </w:rPr>
        <w:t>, mask, and public street party.</w:t>
      </w:r>
      <w:proofErr w:type="gramEnd"/>
      <w:r>
        <w:rPr>
          <w:i/>
          <w:iCs/>
          <w:sz w:val="24"/>
          <w:szCs w:val="24"/>
          <w:shd w:val="solid" w:color="FFFFFF" w:fill="FFFFFF"/>
        </w:rPr>
        <w:t xml:space="preserve"> In other words, we want this part of the conference to be fun and engaging!</w:t>
      </w:r>
    </w:p>
    <w:p w:rsidR="00A77B3E" w:rsidRDefault="002A2752">
      <w:pPr>
        <w:pBdr>
          <w:top w:val="nil"/>
          <w:left w:val="nil"/>
          <w:bottom w:val="nil"/>
          <w:right w:val="nil"/>
          <w:between w:val="nil"/>
          <w:bar w:val="nil"/>
        </w:pBdr>
        <w:rPr>
          <w:i/>
          <w:iCs/>
        </w:rPr>
      </w:pP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 xml:space="preserve">The ODLR </w:t>
      </w:r>
      <w:r w:rsidR="00E10CFA">
        <w:rPr>
          <w:color w:val="111111"/>
          <w:sz w:val="24"/>
          <w:szCs w:val="24"/>
          <w:shd w:val="solid" w:color="FFFFFF" w:fill="FFFFFF"/>
        </w:rPr>
        <w:t xml:space="preserve">Conference </w:t>
      </w:r>
      <w:r>
        <w:rPr>
          <w:color w:val="111111"/>
          <w:sz w:val="24"/>
          <w:szCs w:val="24"/>
          <w:shd w:val="solid" w:color="FFFFFF" w:fill="FFFFFF"/>
        </w:rPr>
        <w:t>Committee invites submissions to the Digital Carnival Showcase to demonstrate and promote innovative technology projects happening at colleges and universities across Virginia. This is not a poster session; rather it is intended to be a fun, loud, colorful, and interactive morning session in which students, faculty, and administrators can engage participants in digital demonstrations of projects happening on their respective campuses. The “big top” of the Digital Carnival Showcase will be a large</w:t>
      </w:r>
      <w:proofErr w:type="gramStart"/>
      <w:r>
        <w:rPr>
          <w:color w:val="111111"/>
          <w:sz w:val="24"/>
          <w:szCs w:val="24"/>
          <w:shd w:val="solid" w:color="FFFFFF" w:fill="FFFFFF"/>
        </w:rPr>
        <w:t>,  open</w:t>
      </w:r>
      <w:proofErr w:type="gramEnd"/>
      <w:r>
        <w:rPr>
          <w:color w:val="111111"/>
          <w:sz w:val="24"/>
          <w:szCs w:val="24"/>
          <w:shd w:val="solid" w:color="FFFFFF" w:fill="FFFFFF"/>
        </w:rPr>
        <w:t xml:space="preserve"> space that encourages interaction and the co-mingling of ideas across institutions in order to get a broader sense of the vast landscape of innovation and technology happening in higher education in Virginia.</w:t>
      </w:r>
    </w:p>
    <w:p w:rsidR="00A77B3E" w:rsidRDefault="002A2752">
      <w:pPr>
        <w:pBdr>
          <w:top w:val="nil"/>
          <w:left w:val="nil"/>
          <w:bottom w:val="nil"/>
          <w:right w:val="nil"/>
          <w:between w:val="nil"/>
          <w:bar w:val="nil"/>
        </w:pBdr>
        <w:rPr>
          <w:color w:val="111111"/>
          <w:sz w:val="24"/>
          <w:szCs w:val="24"/>
          <w:shd w:val="solid" w:color="FFFFFF" w:fill="FFFFFF"/>
        </w:rPr>
      </w:pP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For these proposals we encourage interactive “booths” where a team of presenters, like carnival barkers, demonstrates their innovative digital work to curious conference participants. These demonstrations can focus on faculty, student, and/or administrative innovations around digital learning resources, and can be as specific as localized classroom experiments or as broad as curricular innovations. Some examples: course sites, open textbooks, 3D Printing, e-books, internet radio, streaming video, campus-wide blogging, wikis, etc</w:t>
      </w:r>
      <w:proofErr w:type="gramStart"/>
      <w:r>
        <w:rPr>
          <w:color w:val="111111"/>
          <w:sz w:val="24"/>
          <w:szCs w:val="24"/>
          <w:shd w:val="solid" w:color="FFFFFF" w:fill="FFFFFF"/>
        </w:rPr>
        <w:t>..</w:t>
      </w:r>
      <w:proofErr w:type="gramEnd"/>
      <w:r>
        <w:rPr>
          <w:color w:val="111111"/>
          <w:sz w:val="24"/>
          <w:szCs w:val="24"/>
          <w:shd w:val="solid" w:color="FFFFFF" w:fill="FFFFFF"/>
        </w:rPr>
        <w:t xml:space="preserve">  Ideally, submitted projects should be able to be effectively demonstrated and discussed in a physical space.</w:t>
      </w:r>
    </w:p>
    <w:p w:rsidR="00A77B3E" w:rsidRDefault="00496B78">
      <w:pPr>
        <w:pStyle w:val="Heading3"/>
        <w:pBdr>
          <w:top w:val="nil"/>
          <w:left w:val="nil"/>
          <w:bottom w:val="nil"/>
          <w:right w:val="nil"/>
          <w:between w:val="nil"/>
          <w:bar w:val="nil"/>
        </w:pBdr>
      </w:pPr>
      <w:bookmarkStart w:id="7" w:name="h.vw6313hpgj7m"/>
      <w:bookmarkEnd w:id="7"/>
      <w:r>
        <w:t>Presentations</w:t>
      </w: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 xml:space="preserve">The Call for Presentations invites individual or group submissions. As </w:t>
      </w:r>
      <w:proofErr w:type="gramStart"/>
      <w:r>
        <w:rPr>
          <w:color w:val="111111"/>
          <w:sz w:val="24"/>
          <w:szCs w:val="24"/>
          <w:shd w:val="solid" w:color="FFFFFF" w:fill="FFFFFF"/>
        </w:rPr>
        <w:t>part of your submission please describe</w:t>
      </w:r>
      <w:proofErr w:type="gramEnd"/>
      <w:r>
        <w:rPr>
          <w:color w:val="111111"/>
          <w:sz w:val="24"/>
          <w:szCs w:val="24"/>
          <w:shd w:val="solid" w:color="FFFFFF" w:fill="FFFFFF"/>
        </w:rPr>
        <w:t xml:space="preserve"> the format you plan to use for your paper (presentation, panel, interview, debate). </w:t>
      </w:r>
      <w:r>
        <w:rPr>
          <w:i/>
          <w:iCs/>
          <w:color w:val="111111"/>
          <w:sz w:val="24"/>
          <w:szCs w:val="24"/>
          <w:shd w:val="solid" w:color="FFFFFF" w:fill="FFFFFF"/>
        </w:rPr>
        <w:t>Creative formats that actively engage the audience are encouraged.</w:t>
      </w:r>
      <w:r>
        <w:rPr>
          <w:color w:val="111111"/>
          <w:sz w:val="24"/>
          <w:szCs w:val="24"/>
          <w:shd w:val="solid" w:color="FFFFFF" w:fill="FFFFFF"/>
        </w:rPr>
        <w:t xml:space="preserve"> Specify whether you prefer a time slot of 20 minute or 45 minute</w:t>
      </w:r>
      <w:r>
        <w:rPr>
          <w:b/>
          <w:bCs/>
          <w:color w:val="111111"/>
          <w:sz w:val="24"/>
          <w:szCs w:val="24"/>
          <w:shd w:val="solid" w:color="FFFFFF" w:fill="FFFFFF"/>
        </w:rPr>
        <w:t xml:space="preserve"> </w:t>
      </w:r>
      <w:r>
        <w:rPr>
          <w:color w:val="111111"/>
          <w:sz w:val="24"/>
          <w:szCs w:val="24"/>
          <w:shd w:val="solid" w:color="FFFFFF" w:fill="FFFFFF"/>
        </w:rPr>
        <w:t>duration. Identify which conference topic your paper fits with (see list above)</w:t>
      </w:r>
    </w:p>
    <w:p w:rsidR="00A77B3E" w:rsidRDefault="002A2752">
      <w:pPr>
        <w:pBdr>
          <w:top w:val="nil"/>
          <w:left w:val="nil"/>
          <w:bottom w:val="nil"/>
          <w:right w:val="nil"/>
          <w:between w:val="nil"/>
          <w:bar w:val="nil"/>
        </w:pBdr>
        <w:rPr>
          <w:color w:val="111111"/>
          <w:sz w:val="24"/>
          <w:szCs w:val="24"/>
          <w:shd w:val="solid" w:color="FFFFFF" w:fill="FFFFFF"/>
        </w:rPr>
      </w:pPr>
    </w:p>
    <w:p w:rsidR="00A77B3E" w:rsidRPr="00E10CFA" w:rsidRDefault="00496B78">
      <w:pPr>
        <w:pBdr>
          <w:top w:val="nil"/>
          <w:left w:val="nil"/>
          <w:bottom w:val="nil"/>
          <w:right w:val="nil"/>
          <w:between w:val="nil"/>
          <w:bar w:val="nil"/>
        </w:pBdr>
        <w:rPr>
          <w:sz w:val="24"/>
          <w:szCs w:val="24"/>
        </w:rPr>
      </w:pPr>
      <w:r w:rsidRPr="00E10CFA">
        <w:rPr>
          <w:sz w:val="24"/>
          <w:szCs w:val="24"/>
        </w:rPr>
        <w:lastRenderedPageBreak/>
        <w:t xml:space="preserve">Go to </w:t>
      </w:r>
      <w:hyperlink r:id="rId12" w:history="1">
        <w:r w:rsidRPr="00E10CFA">
          <w:rPr>
            <w:color w:val="1155CC"/>
            <w:sz w:val="24"/>
            <w:szCs w:val="24"/>
            <w:u w:val="single"/>
          </w:rPr>
          <w:t>http</w:t>
        </w:r>
      </w:hyperlink>
      <w:hyperlink r:id="rId13" w:history="1">
        <w:proofErr w:type="gramStart"/>
        <w:r w:rsidRPr="00E10CFA">
          <w:rPr>
            <w:color w:val="1155CC"/>
            <w:sz w:val="24"/>
            <w:szCs w:val="24"/>
            <w:u w:val="single"/>
          </w:rPr>
          <w:t>:/</w:t>
        </w:r>
        <w:proofErr w:type="gramEnd"/>
        <w:r w:rsidRPr="00E10CFA">
          <w:rPr>
            <w:color w:val="1155CC"/>
            <w:sz w:val="24"/>
            <w:szCs w:val="24"/>
            <w:u w:val="single"/>
          </w:rPr>
          <w:t>/</w:t>
        </w:r>
      </w:hyperlink>
      <w:hyperlink r:id="rId14" w:history="1">
        <w:r w:rsidRPr="00E10CFA">
          <w:rPr>
            <w:color w:val="1155CC"/>
            <w:sz w:val="24"/>
            <w:szCs w:val="24"/>
            <w:u w:val="single"/>
          </w:rPr>
          <w:t>openva</w:t>
        </w:r>
      </w:hyperlink>
      <w:hyperlink r:id="rId15" w:history="1">
        <w:r w:rsidRPr="00E10CFA">
          <w:rPr>
            <w:color w:val="1155CC"/>
            <w:sz w:val="24"/>
            <w:szCs w:val="24"/>
            <w:u w:val="single"/>
          </w:rPr>
          <w:t>.</w:t>
        </w:r>
      </w:hyperlink>
      <w:hyperlink r:id="rId16" w:history="1">
        <w:proofErr w:type="gramStart"/>
        <w:r w:rsidRPr="00E10CFA">
          <w:rPr>
            <w:color w:val="1155CC"/>
            <w:sz w:val="24"/>
            <w:szCs w:val="24"/>
            <w:u w:val="single"/>
          </w:rPr>
          <w:t>org</w:t>
        </w:r>
        <w:proofErr w:type="gramEnd"/>
      </w:hyperlink>
      <w:r w:rsidRPr="00E10CFA">
        <w:rPr>
          <w:sz w:val="24"/>
          <w:szCs w:val="24"/>
        </w:rPr>
        <w:t xml:space="preserve"> to submit a proposal. The deadline for submissions is </w:t>
      </w:r>
      <w:r w:rsidRPr="00E10CFA">
        <w:rPr>
          <w:b/>
          <w:sz w:val="24"/>
          <w:szCs w:val="24"/>
          <w:u w:val="single"/>
        </w:rPr>
        <w:t>November 30th, 2012</w:t>
      </w:r>
      <w:r w:rsidRPr="00E10CFA">
        <w:rPr>
          <w:sz w:val="24"/>
          <w:szCs w:val="24"/>
        </w:rPr>
        <w:t xml:space="preserve">.  </w:t>
      </w:r>
    </w:p>
    <w:p w:rsidR="00A77B3E" w:rsidRDefault="002A2752">
      <w:pPr>
        <w:pBdr>
          <w:top w:val="nil"/>
          <w:left w:val="nil"/>
          <w:bottom w:val="nil"/>
          <w:right w:val="nil"/>
          <w:between w:val="nil"/>
          <w:bar w:val="nil"/>
        </w:pBdr>
      </w:pPr>
    </w:p>
    <w:p w:rsidR="00A77B3E" w:rsidRDefault="00496B78">
      <w:pPr>
        <w:pStyle w:val="Heading2"/>
        <w:pBdr>
          <w:top w:val="nil"/>
          <w:left w:val="nil"/>
          <w:bottom w:val="nil"/>
          <w:right w:val="nil"/>
          <w:between w:val="nil"/>
          <w:bar w:val="nil"/>
        </w:pBdr>
      </w:pPr>
      <w:bookmarkStart w:id="8" w:name="h.eh3ymv4avcce"/>
      <w:bookmarkEnd w:id="8"/>
      <w:r>
        <w:t>Who Will Be Attending?</w:t>
      </w:r>
    </w:p>
    <w:p w:rsidR="00A77B3E" w:rsidRDefault="00496B78">
      <w:pPr>
        <w:pBdr>
          <w:top w:val="nil"/>
          <w:left w:val="nil"/>
          <w:bottom w:val="nil"/>
          <w:right w:val="nil"/>
          <w:between w:val="nil"/>
          <w:bar w:val="nil"/>
        </w:pBdr>
        <w:rPr>
          <w:sz w:val="24"/>
          <w:szCs w:val="24"/>
        </w:rPr>
      </w:pPr>
      <w:r>
        <w:rPr>
          <w:sz w:val="24"/>
          <w:szCs w:val="24"/>
        </w:rPr>
        <w:t>The ODLR</w:t>
      </w:r>
      <w:r w:rsidR="00E10CFA">
        <w:rPr>
          <w:sz w:val="24"/>
          <w:szCs w:val="24"/>
        </w:rPr>
        <w:t xml:space="preserve"> </w:t>
      </w:r>
      <w:r>
        <w:rPr>
          <w:sz w:val="24"/>
          <w:szCs w:val="24"/>
        </w:rPr>
        <w:t>C</w:t>
      </w:r>
      <w:r w:rsidR="00E10CFA">
        <w:rPr>
          <w:sz w:val="24"/>
          <w:szCs w:val="24"/>
        </w:rPr>
        <w:t>onference</w:t>
      </w:r>
      <w:r>
        <w:rPr>
          <w:sz w:val="24"/>
          <w:szCs w:val="24"/>
        </w:rPr>
        <w:t xml:space="preserve"> Committee invites six member teams from each public two- and four-year institution in the Commonwealth to attend this conference. It is recommended these teams include a college or university president (or other senior administrative leader), a fiscal officer, a library representative, an instructional designer or technologist, and two faculty members.</w:t>
      </w:r>
    </w:p>
    <w:p w:rsidR="00A77B3E" w:rsidRDefault="00496B78">
      <w:pPr>
        <w:pBdr>
          <w:top w:val="nil"/>
          <w:left w:val="nil"/>
          <w:bottom w:val="nil"/>
          <w:right w:val="nil"/>
          <w:between w:val="nil"/>
          <w:bar w:val="nil"/>
        </w:pBdr>
        <w:rPr>
          <w:sz w:val="24"/>
          <w:szCs w:val="24"/>
        </w:rPr>
      </w:pPr>
      <w:r>
        <w:rPr>
          <w:sz w:val="24"/>
          <w:szCs w:val="24"/>
        </w:rPr>
        <w:t xml:space="preserve"> </w:t>
      </w:r>
    </w:p>
    <w:p w:rsidR="00A77B3E" w:rsidRDefault="00496B78">
      <w:pPr>
        <w:pBdr>
          <w:top w:val="nil"/>
          <w:left w:val="nil"/>
          <w:bottom w:val="nil"/>
          <w:right w:val="nil"/>
          <w:between w:val="nil"/>
          <w:bar w:val="nil"/>
        </w:pBdr>
        <w:rPr>
          <w:color w:val="111111"/>
          <w:sz w:val="24"/>
          <w:szCs w:val="24"/>
          <w:shd w:val="solid" w:color="FFFFFF" w:fill="FFFFFF"/>
        </w:rPr>
      </w:pPr>
      <w:r>
        <w:rPr>
          <w:color w:val="111111"/>
          <w:sz w:val="24"/>
          <w:szCs w:val="24"/>
          <w:shd w:val="solid" w:color="FFFFFF" w:fill="FFFFFF"/>
        </w:rPr>
        <w:t xml:space="preserve">Postsecondary </w:t>
      </w:r>
      <w:proofErr w:type="gramStart"/>
      <w:r>
        <w:rPr>
          <w:color w:val="111111"/>
          <w:sz w:val="24"/>
          <w:szCs w:val="24"/>
          <w:shd w:val="solid" w:color="FFFFFF" w:fill="FFFFFF"/>
        </w:rPr>
        <w:t>faculty throughout Virginia are</w:t>
      </w:r>
      <w:proofErr w:type="gramEnd"/>
      <w:r>
        <w:rPr>
          <w:color w:val="111111"/>
          <w:sz w:val="24"/>
          <w:szCs w:val="24"/>
          <w:shd w:val="solid" w:color="FFFFFF" w:fill="FFFFFF"/>
        </w:rPr>
        <w:t xml:space="preserve"> doing some amazing work with digital learning resources. The goal of this conference is to feature this work as well as create a network of postsecondary administrators, staff</w:t>
      </w:r>
      <w:proofErr w:type="gramStart"/>
      <w:r>
        <w:rPr>
          <w:color w:val="111111"/>
          <w:sz w:val="24"/>
          <w:szCs w:val="24"/>
          <w:shd w:val="solid" w:color="FFFFFF" w:fill="FFFFFF"/>
        </w:rPr>
        <w:t>,  and</w:t>
      </w:r>
      <w:proofErr w:type="gramEnd"/>
      <w:r>
        <w:rPr>
          <w:color w:val="111111"/>
          <w:sz w:val="24"/>
          <w:szCs w:val="24"/>
          <w:shd w:val="solid" w:color="FFFFFF" w:fill="FFFFFF"/>
        </w:rPr>
        <w:t xml:space="preserve"> faculty interested in building an educational culture around open and digital learning resources. ODLR 2013 is your opportunity to share and promote the innovative work happening at your college or university and introduce it into Virginia’s public education learning ecosystem.</w:t>
      </w:r>
    </w:p>
    <w:p w:rsidR="00A77B3E" w:rsidRDefault="00496B78">
      <w:pPr>
        <w:pStyle w:val="Heading2"/>
        <w:pBdr>
          <w:top w:val="nil"/>
          <w:left w:val="nil"/>
          <w:bottom w:val="nil"/>
          <w:right w:val="nil"/>
          <w:between w:val="nil"/>
          <w:bar w:val="nil"/>
        </w:pBdr>
      </w:pPr>
      <w:bookmarkStart w:id="9" w:name="h.ggrkgg2br5t4"/>
      <w:bookmarkEnd w:id="9"/>
      <w:r>
        <w:t>About</w:t>
      </w:r>
    </w:p>
    <w:p w:rsidR="00A77B3E" w:rsidRDefault="00496B78">
      <w:pPr>
        <w:pBdr>
          <w:top w:val="nil"/>
          <w:left w:val="nil"/>
          <w:bottom w:val="nil"/>
          <w:right w:val="nil"/>
          <w:between w:val="nil"/>
          <w:bar w:val="nil"/>
        </w:pBdr>
        <w:rPr>
          <w:sz w:val="24"/>
          <w:szCs w:val="24"/>
        </w:rPr>
      </w:pPr>
      <w:r>
        <w:rPr>
          <w:sz w:val="24"/>
          <w:szCs w:val="24"/>
        </w:rPr>
        <w:t>The Open and Digital Learning Resources Conference is an initiative of the Office of Governor of the Commonwealth of Virginia</w:t>
      </w:r>
      <w:proofErr w:type="gramStart"/>
      <w:r>
        <w:rPr>
          <w:sz w:val="24"/>
          <w:szCs w:val="24"/>
        </w:rPr>
        <w:t>,  the</w:t>
      </w:r>
      <w:proofErr w:type="gramEnd"/>
      <w:r>
        <w:rPr>
          <w:sz w:val="24"/>
          <w:szCs w:val="24"/>
        </w:rPr>
        <w:t xml:space="preserve"> State Council of Higher Education for Virginia (SCHEV), the Virginia Community College System, and the following partner institutions: </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Christopher Newport University</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College of William &amp; Mary</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George Mason University</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James Madison University</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Old Dominion University</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Radford University</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Tidewater Community College</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University of Mary Washington</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University of Virginia</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Virginia Commonwealth University</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Virginia Military Institute</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Virginia State University</w:t>
      </w:r>
    </w:p>
    <w:p w:rsidR="00A77B3E" w:rsidRDefault="00496B78">
      <w:pPr>
        <w:numPr>
          <w:ilvl w:val="0"/>
          <w:numId w:val="3"/>
        </w:numPr>
        <w:pBdr>
          <w:top w:val="nil"/>
          <w:left w:val="nil"/>
          <w:bottom w:val="nil"/>
          <w:right w:val="nil"/>
          <w:between w:val="nil"/>
          <w:bar w:val="nil"/>
        </w:pBdr>
        <w:tabs>
          <w:tab w:val="num" w:pos="720"/>
        </w:tabs>
        <w:rPr>
          <w:sz w:val="24"/>
          <w:szCs w:val="24"/>
        </w:rPr>
      </w:pPr>
      <w:r>
        <w:rPr>
          <w:sz w:val="24"/>
          <w:szCs w:val="24"/>
        </w:rPr>
        <w:t>Virginia Tech</w:t>
      </w:r>
    </w:p>
    <w:p w:rsidR="00A77B3E" w:rsidRDefault="002A2752">
      <w:pPr>
        <w:pBdr>
          <w:top w:val="nil"/>
          <w:left w:val="nil"/>
          <w:bottom w:val="nil"/>
          <w:right w:val="nil"/>
          <w:between w:val="nil"/>
          <w:bar w:val="nil"/>
        </w:pBdr>
        <w:spacing w:line="240" w:lineRule="auto"/>
      </w:pPr>
    </w:p>
    <w:p w:rsidR="00A77B3E" w:rsidRDefault="002A2752">
      <w:pPr>
        <w:pBdr>
          <w:top w:val="nil"/>
          <w:left w:val="nil"/>
          <w:bottom w:val="nil"/>
          <w:right w:val="nil"/>
          <w:between w:val="nil"/>
          <w:bar w:val="nil"/>
        </w:pBdr>
        <w:spacing w:line="240" w:lineRule="auto"/>
      </w:pPr>
    </w:p>
    <w:p w:rsidR="00A77B3E" w:rsidRDefault="002A2752">
      <w:pPr>
        <w:pBdr>
          <w:top w:val="nil"/>
          <w:left w:val="nil"/>
          <w:bottom w:val="nil"/>
          <w:right w:val="nil"/>
          <w:between w:val="nil"/>
          <w:bar w:val="nil"/>
        </w:pBdr>
        <w:spacing w:line="240" w:lineRule="auto"/>
      </w:pPr>
    </w:p>
    <w:p w:rsidR="00A77B3E" w:rsidRDefault="002A2752">
      <w:pPr>
        <w:pBdr>
          <w:top w:val="nil"/>
          <w:left w:val="nil"/>
          <w:bottom w:val="nil"/>
          <w:right w:val="nil"/>
          <w:between w:val="nil"/>
          <w:bar w:val="nil"/>
        </w:pBdr>
        <w:spacing w:line="240" w:lineRule="auto"/>
      </w:pPr>
    </w:p>
    <w:sectPr w:rsidR="00A77B3E" w:rsidSect="005D739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9EC" w:rsidRDefault="001669EC" w:rsidP="00E10CFA">
      <w:pPr>
        <w:spacing w:line="240" w:lineRule="auto"/>
      </w:pPr>
      <w:r>
        <w:separator/>
      </w:r>
    </w:p>
  </w:endnote>
  <w:endnote w:type="continuationSeparator" w:id="0">
    <w:p w:rsidR="001669EC" w:rsidRDefault="001669EC" w:rsidP="00E10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9EC" w:rsidRDefault="001669EC" w:rsidP="00E10CFA">
      <w:pPr>
        <w:spacing w:line="240" w:lineRule="auto"/>
      </w:pPr>
      <w:r>
        <w:separator/>
      </w:r>
    </w:p>
  </w:footnote>
  <w:footnote w:type="continuationSeparator" w:id="0">
    <w:p w:rsidR="001669EC" w:rsidRDefault="001669EC" w:rsidP="00E10CF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E0EC37AA">
      <w:start w:val="1"/>
      <w:numFmt w:val="bullet"/>
      <w:lvlText w:val="●"/>
      <w:lvlJc w:val="left"/>
      <w:pPr>
        <w:tabs>
          <w:tab w:val="num" w:pos="360"/>
        </w:tabs>
        <w:ind w:left="720" w:hanging="360"/>
      </w:pPr>
      <w:rPr>
        <w:rFonts w:ascii="Arial" w:eastAsia="Arial" w:hAnsi="Arial" w:cs="Arial"/>
        <w:b w:val="0"/>
        <w:bCs w:val="0"/>
        <w:i w:val="0"/>
        <w:iCs w:val="0"/>
        <w:strike w:val="0"/>
        <w:color w:val="111111"/>
        <w:sz w:val="24"/>
        <w:szCs w:val="24"/>
        <w:u w:val="none"/>
        <w:shd w:val="solid" w:color="FFFFFF" w:fill="FFFFFF"/>
      </w:rPr>
    </w:lvl>
    <w:lvl w:ilvl="1" w:tplc="CBDEC23C">
      <w:start w:val="1"/>
      <w:numFmt w:val="bullet"/>
      <w:lvlText w:val="○"/>
      <w:lvlJc w:val="left"/>
      <w:pPr>
        <w:tabs>
          <w:tab w:val="num" w:pos="1080"/>
        </w:tabs>
        <w:ind w:left="1440" w:hanging="360"/>
      </w:pPr>
      <w:rPr>
        <w:rFonts w:ascii="Arial" w:eastAsia="Arial" w:hAnsi="Arial" w:cs="Arial"/>
        <w:b w:val="0"/>
        <w:bCs w:val="0"/>
        <w:i w:val="0"/>
        <w:iCs w:val="0"/>
        <w:strike w:val="0"/>
        <w:color w:val="111111"/>
        <w:sz w:val="24"/>
        <w:szCs w:val="24"/>
        <w:u w:val="none"/>
        <w:shd w:val="solid" w:color="FFFFFF" w:fill="FFFFFF"/>
      </w:rPr>
    </w:lvl>
    <w:lvl w:ilvl="2" w:tplc="31421888">
      <w:start w:val="1"/>
      <w:numFmt w:val="bullet"/>
      <w:lvlText w:val="■"/>
      <w:lvlJc w:val="right"/>
      <w:pPr>
        <w:tabs>
          <w:tab w:val="num" w:pos="1800"/>
        </w:tabs>
        <w:ind w:left="2160" w:hanging="180"/>
      </w:pPr>
      <w:rPr>
        <w:rFonts w:ascii="Arial" w:eastAsia="Arial" w:hAnsi="Arial" w:cs="Arial"/>
        <w:b w:val="0"/>
        <w:bCs w:val="0"/>
        <w:i w:val="0"/>
        <w:iCs w:val="0"/>
        <w:strike w:val="0"/>
        <w:color w:val="111111"/>
        <w:sz w:val="24"/>
        <w:szCs w:val="24"/>
        <w:u w:val="none"/>
        <w:shd w:val="solid" w:color="FFFFFF" w:fill="FFFFFF"/>
      </w:rPr>
    </w:lvl>
    <w:lvl w:ilvl="3" w:tplc="91DE9692">
      <w:start w:val="1"/>
      <w:numFmt w:val="bullet"/>
      <w:lvlText w:val="●"/>
      <w:lvlJc w:val="left"/>
      <w:pPr>
        <w:tabs>
          <w:tab w:val="num" w:pos="2520"/>
        </w:tabs>
        <w:ind w:left="2880" w:hanging="360"/>
      </w:pPr>
      <w:rPr>
        <w:rFonts w:ascii="Arial" w:eastAsia="Arial" w:hAnsi="Arial" w:cs="Arial"/>
        <w:b w:val="0"/>
        <w:bCs w:val="0"/>
        <w:i w:val="0"/>
        <w:iCs w:val="0"/>
        <w:strike w:val="0"/>
        <w:color w:val="111111"/>
        <w:sz w:val="24"/>
        <w:szCs w:val="24"/>
        <w:u w:val="none"/>
        <w:shd w:val="solid" w:color="FFFFFF" w:fill="FFFFFF"/>
      </w:rPr>
    </w:lvl>
    <w:lvl w:ilvl="4" w:tplc="096A7AA8">
      <w:start w:val="1"/>
      <w:numFmt w:val="bullet"/>
      <w:lvlText w:val="○"/>
      <w:lvlJc w:val="left"/>
      <w:pPr>
        <w:tabs>
          <w:tab w:val="num" w:pos="3240"/>
        </w:tabs>
        <w:ind w:left="3600" w:hanging="360"/>
      </w:pPr>
      <w:rPr>
        <w:rFonts w:ascii="Arial" w:eastAsia="Arial" w:hAnsi="Arial" w:cs="Arial"/>
        <w:b w:val="0"/>
        <w:bCs w:val="0"/>
        <w:i w:val="0"/>
        <w:iCs w:val="0"/>
        <w:strike w:val="0"/>
        <w:color w:val="111111"/>
        <w:sz w:val="24"/>
        <w:szCs w:val="24"/>
        <w:u w:val="none"/>
        <w:shd w:val="solid" w:color="FFFFFF" w:fill="FFFFFF"/>
      </w:rPr>
    </w:lvl>
    <w:lvl w:ilvl="5" w:tplc="EC727A0C">
      <w:start w:val="1"/>
      <w:numFmt w:val="bullet"/>
      <w:lvlText w:val="■"/>
      <w:lvlJc w:val="right"/>
      <w:pPr>
        <w:tabs>
          <w:tab w:val="num" w:pos="3960"/>
        </w:tabs>
        <w:ind w:left="4320" w:hanging="180"/>
      </w:pPr>
      <w:rPr>
        <w:rFonts w:ascii="Arial" w:eastAsia="Arial" w:hAnsi="Arial" w:cs="Arial"/>
        <w:b w:val="0"/>
        <w:bCs w:val="0"/>
        <w:i w:val="0"/>
        <w:iCs w:val="0"/>
        <w:strike w:val="0"/>
        <w:color w:val="111111"/>
        <w:sz w:val="24"/>
        <w:szCs w:val="24"/>
        <w:u w:val="none"/>
        <w:shd w:val="solid" w:color="FFFFFF" w:fill="FFFFFF"/>
      </w:rPr>
    </w:lvl>
    <w:lvl w:ilvl="6" w:tplc="7A045F18">
      <w:start w:val="1"/>
      <w:numFmt w:val="bullet"/>
      <w:lvlText w:val="●"/>
      <w:lvlJc w:val="left"/>
      <w:pPr>
        <w:tabs>
          <w:tab w:val="num" w:pos="4680"/>
        </w:tabs>
        <w:ind w:left="5040" w:hanging="360"/>
      </w:pPr>
      <w:rPr>
        <w:rFonts w:ascii="Arial" w:eastAsia="Arial" w:hAnsi="Arial" w:cs="Arial"/>
        <w:b w:val="0"/>
        <w:bCs w:val="0"/>
        <w:i w:val="0"/>
        <w:iCs w:val="0"/>
        <w:strike w:val="0"/>
        <w:color w:val="111111"/>
        <w:sz w:val="24"/>
        <w:szCs w:val="24"/>
        <w:u w:val="none"/>
        <w:shd w:val="solid" w:color="FFFFFF" w:fill="FFFFFF"/>
      </w:rPr>
    </w:lvl>
    <w:lvl w:ilvl="7" w:tplc="BAD636B2">
      <w:start w:val="1"/>
      <w:numFmt w:val="bullet"/>
      <w:lvlText w:val="○"/>
      <w:lvlJc w:val="left"/>
      <w:pPr>
        <w:tabs>
          <w:tab w:val="num" w:pos="5400"/>
        </w:tabs>
        <w:ind w:left="5760" w:hanging="360"/>
      </w:pPr>
      <w:rPr>
        <w:rFonts w:ascii="Arial" w:eastAsia="Arial" w:hAnsi="Arial" w:cs="Arial"/>
        <w:b w:val="0"/>
        <w:bCs w:val="0"/>
        <w:i w:val="0"/>
        <w:iCs w:val="0"/>
        <w:strike w:val="0"/>
        <w:color w:val="111111"/>
        <w:sz w:val="24"/>
        <w:szCs w:val="24"/>
        <w:u w:val="none"/>
        <w:shd w:val="solid" w:color="FFFFFF" w:fill="FFFFFF"/>
      </w:rPr>
    </w:lvl>
    <w:lvl w:ilvl="8" w:tplc="A2E80F1C">
      <w:start w:val="1"/>
      <w:numFmt w:val="bullet"/>
      <w:lvlText w:val="■"/>
      <w:lvlJc w:val="right"/>
      <w:pPr>
        <w:tabs>
          <w:tab w:val="num" w:pos="6120"/>
        </w:tabs>
        <w:ind w:left="6480" w:hanging="180"/>
      </w:pPr>
      <w:rPr>
        <w:rFonts w:ascii="Arial" w:eastAsia="Arial" w:hAnsi="Arial" w:cs="Arial"/>
        <w:b w:val="0"/>
        <w:bCs w:val="0"/>
        <w:i w:val="0"/>
        <w:iCs w:val="0"/>
        <w:strike w:val="0"/>
        <w:color w:val="111111"/>
        <w:sz w:val="24"/>
        <w:szCs w:val="24"/>
        <w:u w:val="none"/>
        <w:shd w:val="solid" w:color="FFFFFF" w:fill="FFFFFF"/>
      </w:rPr>
    </w:lvl>
  </w:abstractNum>
  <w:abstractNum w:abstractNumId="1">
    <w:nsid w:val="00000002"/>
    <w:multiLevelType w:val="hybridMultilevel"/>
    <w:tmpl w:val="00000002"/>
    <w:lvl w:ilvl="0" w:tplc="1F9ABCB0">
      <w:start w:val="1"/>
      <w:numFmt w:val="decimal"/>
      <w:lvlText w:val="%1."/>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641E6476">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5E0C6F8A">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7F5A234A">
      <w:start w:val="1"/>
      <w:numFmt w:val="decimal"/>
      <w:lvlText w:val="%4."/>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2708BE5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ACEC8B5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1F64A7D6">
      <w:start w:val="1"/>
      <w:numFmt w:val="decimal"/>
      <w:lvlText w:val="%7."/>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40463698">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E926167A">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2">
    <w:nsid w:val="00000003"/>
    <w:multiLevelType w:val="hybridMultilevel"/>
    <w:tmpl w:val="00000003"/>
    <w:lvl w:ilvl="0" w:tplc="8D381CC2">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B350A0B0">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2E08362E">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CE40FFAA">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E500BAB0">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9C365F6E">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83A6F91E">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80220298">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BE5C71D2">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90"/>
    <w:rsid w:val="000C2470"/>
    <w:rsid w:val="001669EC"/>
    <w:rsid w:val="002A2752"/>
    <w:rsid w:val="00496B78"/>
    <w:rsid w:val="005D7390"/>
    <w:rsid w:val="007272D0"/>
    <w:rsid w:val="00C13A90"/>
    <w:rsid w:val="00E1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390"/>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rsid w:val="005D7390"/>
    <w:pPr>
      <w:spacing w:line="240" w:lineRule="auto"/>
    </w:pPr>
    <w:rPr>
      <w:sz w:val="20"/>
      <w:szCs w:val="20"/>
    </w:rPr>
  </w:style>
  <w:style w:type="character" w:customStyle="1" w:styleId="CommentTextChar">
    <w:name w:val="Comment Text Char"/>
    <w:basedOn w:val="DefaultParagraphFont"/>
    <w:link w:val="CommentText"/>
    <w:rsid w:val="005D7390"/>
    <w:rPr>
      <w:rFonts w:ascii="Arial" w:eastAsia="Arial" w:hAnsi="Arial" w:cs="Arial"/>
      <w:color w:val="000000"/>
    </w:rPr>
  </w:style>
  <w:style w:type="paragraph" w:styleId="BalloonText">
    <w:name w:val="Balloon Text"/>
    <w:basedOn w:val="Normal"/>
    <w:link w:val="BalloonTextChar"/>
    <w:rsid w:val="00E10CF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10CFA"/>
    <w:rPr>
      <w:rFonts w:ascii="Tahoma" w:eastAsia="Arial" w:hAnsi="Tahoma" w:cs="Tahoma"/>
      <w:color w:val="000000"/>
      <w:sz w:val="16"/>
      <w:szCs w:val="16"/>
    </w:rPr>
  </w:style>
  <w:style w:type="paragraph" w:styleId="Header">
    <w:name w:val="header"/>
    <w:basedOn w:val="Normal"/>
    <w:link w:val="HeaderChar"/>
    <w:rsid w:val="00E10CFA"/>
    <w:pPr>
      <w:tabs>
        <w:tab w:val="center" w:pos="4680"/>
        <w:tab w:val="right" w:pos="9360"/>
      </w:tabs>
      <w:spacing w:line="240" w:lineRule="auto"/>
    </w:pPr>
  </w:style>
  <w:style w:type="character" w:customStyle="1" w:styleId="HeaderChar">
    <w:name w:val="Header Char"/>
    <w:basedOn w:val="DefaultParagraphFont"/>
    <w:link w:val="Header"/>
    <w:rsid w:val="00E10CFA"/>
    <w:rPr>
      <w:rFonts w:ascii="Arial" w:eastAsia="Arial" w:hAnsi="Arial" w:cs="Arial"/>
      <w:color w:val="000000"/>
      <w:sz w:val="22"/>
      <w:szCs w:val="22"/>
    </w:rPr>
  </w:style>
  <w:style w:type="paragraph" w:styleId="Footer">
    <w:name w:val="footer"/>
    <w:basedOn w:val="Normal"/>
    <w:link w:val="FooterChar"/>
    <w:rsid w:val="00E10CFA"/>
    <w:pPr>
      <w:tabs>
        <w:tab w:val="center" w:pos="4680"/>
        <w:tab w:val="right" w:pos="9360"/>
      </w:tabs>
      <w:spacing w:line="240" w:lineRule="auto"/>
    </w:pPr>
  </w:style>
  <w:style w:type="character" w:customStyle="1" w:styleId="FooterChar">
    <w:name w:val="Footer Char"/>
    <w:basedOn w:val="DefaultParagraphFont"/>
    <w:link w:val="Footer"/>
    <w:rsid w:val="00E10CFA"/>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390"/>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rsid w:val="005D7390"/>
    <w:pPr>
      <w:spacing w:line="240" w:lineRule="auto"/>
    </w:pPr>
    <w:rPr>
      <w:sz w:val="20"/>
      <w:szCs w:val="20"/>
    </w:rPr>
  </w:style>
  <w:style w:type="character" w:customStyle="1" w:styleId="CommentTextChar">
    <w:name w:val="Comment Text Char"/>
    <w:basedOn w:val="DefaultParagraphFont"/>
    <w:link w:val="CommentText"/>
    <w:rsid w:val="005D7390"/>
    <w:rPr>
      <w:rFonts w:ascii="Arial" w:eastAsia="Arial" w:hAnsi="Arial" w:cs="Arial"/>
      <w:color w:val="000000"/>
    </w:rPr>
  </w:style>
  <w:style w:type="paragraph" w:styleId="BalloonText">
    <w:name w:val="Balloon Text"/>
    <w:basedOn w:val="Normal"/>
    <w:link w:val="BalloonTextChar"/>
    <w:rsid w:val="00E10CF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10CFA"/>
    <w:rPr>
      <w:rFonts w:ascii="Tahoma" w:eastAsia="Arial" w:hAnsi="Tahoma" w:cs="Tahoma"/>
      <w:color w:val="000000"/>
      <w:sz w:val="16"/>
      <w:szCs w:val="16"/>
    </w:rPr>
  </w:style>
  <w:style w:type="paragraph" w:styleId="Header">
    <w:name w:val="header"/>
    <w:basedOn w:val="Normal"/>
    <w:link w:val="HeaderChar"/>
    <w:rsid w:val="00E10CFA"/>
    <w:pPr>
      <w:tabs>
        <w:tab w:val="center" w:pos="4680"/>
        <w:tab w:val="right" w:pos="9360"/>
      </w:tabs>
      <w:spacing w:line="240" w:lineRule="auto"/>
    </w:pPr>
  </w:style>
  <w:style w:type="character" w:customStyle="1" w:styleId="HeaderChar">
    <w:name w:val="Header Char"/>
    <w:basedOn w:val="DefaultParagraphFont"/>
    <w:link w:val="Header"/>
    <w:rsid w:val="00E10CFA"/>
    <w:rPr>
      <w:rFonts w:ascii="Arial" w:eastAsia="Arial" w:hAnsi="Arial" w:cs="Arial"/>
      <w:color w:val="000000"/>
      <w:sz w:val="22"/>
      <w:szCs w:val="22"/>
    </w:rPr>
  </w:style>
  <w:style w:type="paragraph" w:styleId="Footer">
    <w:name w:val="footer"/>
    <w:basedOn w:val="Normal"/>
    <w:link w:val="FooterChar"/>
    <w:rsid w:val="00E10CFA"/>
    <w:pPr>
      <w:tabs>
        <w:tab w:val="center" w:pos="4680"/>
        <w:tab w:val="right" w:pos="9360"/>
      </w:tabs>
      <w:spacing w:line="240" w:lineRule="auto"/>
    </w:pPr>
  </w:style>
  <w:style w:type="character" w:customStyle="1" w:styleId="FooterChar">
    <w:name w:val="Footer Char"/>
    <w:basedOn w:val="DefaultParagraphFont"/>
    <w:link w:val="Footer"/>
    <w:rsid w:val="00E10CFA"/>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penva.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penv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penva.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Circus_(performing_art)" TargetMode="External"/><Relationship Id="rId5" Type="http://schemas.openxmlformats.org/officeDocument/2006/relationships/webSettings" Target="webSettings.xml"/><Relationship Id="rId15" Type="http://schemas.openxmlformats.org/officeDocument/2006/relationships/hyperlink" Target="http://openva.org" TargetMode="External"/><Relationship Id="rId10" Type="http://schemas.openxmlformats.org/officeDocument/2006/relationships/hyperlink" Target="http://en.wikipedia.org/wiki/Parade" TargetMode="External"/><Relationship Id="rId4" Type="http://schemas.openxmlformats.org/officeDocument/2006/relationships/settings" Target="settings.xml"/><Relationship Id="rId9" Type="http://schemas.openxmlformats.org/officeDocument/2006/relationships/hyperlink" Target="http://en.wikipedia.org/wiki/Celebration_(party)" TargetMode="External"/><Relationship Id="rId14" Type="http://schemas.openxmlformats.org/officeDocument/2006/relationships/hyperlink" Target="http://open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6754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Covington, Beverly (SCHEV)</dc:creator>
  <cp:lastModifiedBy>alison</cp:lastModifiedBy>
  <cp:revision>2</cp:revision>
  <cp:lastPrinted>2012-10-05T20:33:00Z</cp:lastPrinted>
  <dcterms:created xsi:type="dcterms:W3CDTF">2012-10-31T13:48:00Z</dcterms:created>
  <dcterms:modified xsi:type="dcterms:W3CDTF">2012-10-31T13:48:00Z</dcterms:modified>
</cp:coreProperties>
</file>